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24784" w14:textId="77777777" w:rsidR="00A41017" w:rsidRDefault="00A41017" w:rsidP="00AA4387">
      <w:pPr>
        <w:shd w:val="clear" w:color="auto" w:fill="FFFFFF"/>
        <w:ind w:firstLine="720"/>
        <w:jc w:val="center"/>
        <w:rPr>
          <w:rFonts w:ascii="Arial" w:hAnsi="Arial" w:cs="Arial"/>
          <w:color w:val="000000"/>
          <w:sz w:val="17"/>
          <w:szCs w:val="17"/>
          <w:lang w:val="ru-RU"/>
        </w:rPr>
      </w:pPr>
    </w:p>
    <w:p w14:paraId="574E56FD" w14:textId="77777777" w:rsidR="00A41017" w:rsidRDefault="00A41017" w:rsidP="00AA4387">
      <w:pPr>
        <w:shd w:val="clear" w:color="auto" w:fill="FFFFFF"/>
        <w:ind w:firstLine="720"/>
        <w:jc w:val="center"/>
        <w:rPr>
          <w:rFonts w:ascii="Arial" w:hAnsi="Arial" w:cs="Arial"/>
          <w:color w:val="000000"/>
          <w:sz w:val="17"/>
          <w:szCs w:val="17"/>
          <w:lang w:val="ru-RU"/>
        </w:rPr>
      </w:pPr>
    </w:p>
    <w:p w14:paraId="736BFF0D" w14:textId="77777777" w:rsidR="00AA4387" w:rsidRPr="00AA4387" w:rsidRDefault="00AA4387" w:rsidP="00AA4387">
      <w:pPr>
        <w:shd w:val="clear" w:color="auto" w:fill="FFFFFF"/>
        <w:ind w:firstLine="720"/>
        <w:jc w:val="center"/>
        <w:rPr>
          <w:rFonts w:ascii="Arial" w:hAnsi="Arial" w:cs="Arial"/>
          <w:color w:val="000000"/>
          <w:sz w:val="17"/>
          <w:szCs w:val="17"/>
          <w:lang w:val="ru-RU"/>
        </w:rPr>
      </w:pPr>
      <w:r w:rsidRPr="00AA4387">
        <w:rPr>
          <w:rFonts w:ascii="Arial" w:hAnsi="Arial" w:cs="Arial"/>
          <w:color w:val="000000"/>
          <w:sz w:val="17"/>
          <w:szCs w:val="17"/>
          <w:lang w:val="ru-RU"/>
        </w:rPr>
        <w:t>Решение изготовлено в полном объеме 05.06.2017 года</w:t>
      </w:r>
    </w:p>
    <w:p w14:paraId="11247915"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Дело № 2-1699/17</w:t>
      </w:r>
    </w:p>
    <w:p w14:paraId="3F45C8B6" w14:textId="77777777" w:rsidR="00AA4387" w:rsidRPr="00AA4387" w:rsidRDefault="00AA4387" w:rsidP="00AA4387">
      <w:pPr>
        <w:shd w:val="clear" w:color="auto" w:fill="FFFFFF"/>
        <w:ind w:firstLine="720"/>
        <w:jc w:val="center"/>
        <w:rPr>
          <w:rFonts w:ascii="Arial" w:hAnsi="Arial" w:cs="Arial"/>
          <w:color w:val="000000"/>
          <w:sz w:val="17"/>
          <w:szCs w:val="17"/>
          <w:lang w:val="ru-RU"/>
        </w:rPr>
      </w:pPr>
      <w:proofErr w:type="gramStart"/>
      <w:r w:rsidRPr="00AA4387">
        <w:rPr>
          <w:rFonts w:ascii="Arial" w:hAnsi="Arial" w:cs="Arial"/>
          <w:color w:val="000000"/>
          <w:sz w:val="17"/>
          <w:szCs w:val="17"/>
          <w:lang w:val="ru-RU"/>
        </w:rPr>
        <w:t>Р</w:t>
      </w:r>
      <w:proofErr w:type="gramEnd"/>
      <w:r w:rsidRPr="00AA4387">
        <w:rPr>
          <w:rFonts w:ascii="Arial" w:hAnsi="Arial" w:cs="Arial"/>
          <w:color w:val="000000"/>
          <w:sz w:val="17"/>
          <w:szCs w:val="17"/>
          <w:lang w:val="ru-RU"/>
        </w:rPr>
        <w:t xml:space="preserve"> Е Ш Е Н И Е</w:t>
      </w:r>
    </w:p>
    <w:p w14:paraId="7331BCCA" w14:textId="77777777" w:rsidR="00AA4387" w:rsidRPr="00AA4387" w:rsidRDefault="00AA4387" w:rsidP="00AA4387">
      <w:pPr>
        <w:shd w:val="clear" w:color="auto" w:fill="FFFFFF"/>
        <w:ind w:firstLine="720"/>
        <w:jc w:val="center"/>
        <w:rPr>
          <w:rFonts w:ascii="Arial" w:hAnsi="Arial" w:cs="Arial"/>
          <w:color w:val="000000"/>
          <w:sz w:val="17"/>
          <w:szCs w:val="17"/>
          <w:lang w:val="ru-RU"/>
        </w:rPr>
      </w:pPr>
      <w:r w:rsidRPr="00AA4387">
        <w:rPr>
          <w:rFonts w:ascii="Arial" w:hAnsi="Arial" w:cs="Arial"/>
          <w:color w:val="000000"/>
          <w:sz w:val="17"/>
          <w:szCs w:val="17"/>
          <w:lang w:val="ru-RU"/>
        </w:rPr>
        <w:t>ИМЕНЕМ РОССИЙСКОЙ ФЕДЕРАЦИИ</w:t>
      </w:r>
    </w:p>
    <w:p w14:paraId="562486F2"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«01» июня 2017 года                       г. Чехов</w:t>
      </w:r>
    </w:p>
    <w:p w14:paraId="5259CB9A"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Чеховский городской суд Московской области в составе:</w:t>
      </w:r>
    </w:p>
    <w:p w14:paraId="59E4BD0B"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председательствующего судьи </w:t>
      </w:r>
      <w:proofErr w:type="spellStart"/>
      <w:r w:rsidRPr="00AA4387">
        <w:rPr>
          <w:rFonts w:ascii="Arial" w:hAnsi="Arial" w:cs="Arial"/>
          <w:color w:val="000000"/>
          <w:sz w:val="17"/>
          <w:szCs w:val="17"/>
          <w:lang w:val="ru-RU"/>
        </w:rPr>
        <w:t>Трощило</w:t>
      </w:r>
      <w:proofErr w:type="spellEnd"/>
      <w:r w:rsidRPr="00AA4387">
        <w:rPr>
          <w:rFonts w:ascii="Arial" w:hAnsi="Arial" w:cs="Arial"/>
          <w:color w:val="000000"/>
          <w:sz w:val="17"/>
          <w:szCs w:val="17"/>
          <w:lang w:val="ru-RU"/>
        </w:rPr>
        <w:t xml:space="preserve"> А.Е.</w:t>
      </w:r>
    </w:p>
    <w:p w14:paraId="373530A1"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при секретаре судебного заседания ФИО11,</w:t>
      </w:r>
    </w:p>
    <w:p w14:paraId="0E975DF8"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рассмотрев в открытом судебном заседании гражданское дело по иску ФИО</w:t>
      </w:r>
      <w:proofErr w:type="gramStart"/>
      <w:r w:rsidRPr="00AA4387">
        <w:rPr>
          <w:rFonts w:ascii="Arial" w:hAnsi="Arial" w:cs="Arial"/>
          <w:color w:val="000000"/>
          <w:sz w:val="17"/>
          <w:szCs w:val="17"/>
          <w:lang w:val="ru-RU"/>
        </w:rPr>
        <w:t>2</w:t>
      </w:r>
      <w:proofErr w:type="gramEnd"/>
      <w:r w:rsidRPr="00AA4387">
        <w:rPr>
          <w:rFonts w:ascii="Arial" w:hAnsi="Arial" w:cs="Arial"/>
          <w:color w:val="000000"/>
          <w:sz w:val="17"/>
          <w:szCs w:val="17"/>
          <w:lang w:val="ru-RU"/>
        </w:rPr>
        <w:t>, ФИО3, ФИО4 к ДНТ «Дубки+» об исправлении реестровой (кадастровой) ошибки, исключении сведений о границах земельных участков из ЕГРН, установлении границ земельных участков,</w:t>
      </w:r>
    </w:p>
    <w:p w14:paraId="5FFC9F86" w14:textId="77777777" w:rsidR="00AA4387" w:rsidRPr="00AA4387" w:rsidRDefault="00AA4387" w:rsidP="00AA4387">
      <w:pPr>
        <w:shd w:val="clear" w:color="auto" w:fill="FFFFFF"/>
        <w:ind w:firstLine="720"/>
        <w:jc w:val="center"/>
        <w:rPr>
          <w:rFonts w:ascii="Arial" w:hAnsi="Arial" w:cs="Arial"/>
          <w:color w:val="000000"/>
          <w:sz w:val="17"/>
          <w:szCs w:val="17"/>
          <w:lang w:val="ru-RU"/>
        </w:rPr>
      </w:pPr>
      <w:r w:rsidRPr="00AA4387">
        <w:rPr>
          <w:rFonts w:ascii="Arial" w:hAnsi="Arial" w:cs="Arial"/>
          <w:color w:val="000000"/>
          <w:sz w:val="17"/>
          <w:szCs w:val="17"/>
          <w:lang w:val="ru-RU"/>
        </w:rPr>
        <w:t>У С Т А Н О В И Л</w:t>
      </w:r>
      <w:proofErr w:type="gramStart"/>
      <w:r w:rsidRPr="00AA4387">
        <w:rPr>
          <w:rFonts w:ascii="Arial" w:hAnsi="Arial" w:cs="Arial"/>
          <w:color w:val="000000"/>
          <w:sz w:val="17"/>
          <w:szCs w:val="17"/>
          <w:lang w:val="ru-RU"/>
        </w:rPr>
        <w:t xml:space="preserve"> :</w:t>
      </w:r>
      <w:proofErr w:type="gramEnd"/>
    </w:p>
    <w:p w14:paraId="7980CCDD"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Истцы, ФИО</w:t>
      </w:r>
      <w:proofErr w:type="gramStart"/>
      <w:r w:rsidRPr="00AA4387">
        <w:rPr>
          <w:rFonts w:ascii="Arial" w:hAnsi="Arial" w:cs="Arial"/>
          <w:color w:val="000000"/>
          <w:sz w:val="17"/>
          <w:szCs w:val="17"/>
          <w:lang w:val="ru-RU"/>
        </w:rPr>
        <w:t>2</w:t>
      </w:r>
      <w:proofErr w:type="gramEnd"/>
      <w:r w:rsidRPr="00AA4387">
        <w:rPr>
          <w:rFonts w:ascii="Arial" w:hAnsi="Arial" w:cs="Arial"/>
          <w:color w:val="000000"/>
          <w:sz w:val="17"/>
          <w:szCs w:val="17"/>
          <w:lang w:val="ru-RU"/>
        </w:rPr>
        <w:t xml:space="preserve">, ФИО3, ФИО4, обратилась в суд с иском к ответчику, ДНТ «Дубки+», об исправлении реестровой (кадастровой) ошибки, исключении сведений о границах принадлежащих им земельных участков из ЕГРН, установлении границ по фактическому пользованию, мотивируя свои требования тем, что ФИО2 является собственником земельного участка с кадастровым №, площадью 3 503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xml:space="preserve">., категория земель – земли с/х назначения, разрешенное использование – для дачного строительства, расположенный по адресу: &lt;адрес&gt;. ФИО3 является собственником земельного участка с кадастровым №, площадью 2 067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категория земель – земли с/х назначения, разрешенное использование – для дачного строительства, расположенный по адресу: &lt;адрес&gt;. ФИО</w:t>
      </w:r>
      <w:proofErr w:type="gramStart"/>
      <w:r w:rsidRPr="00AA4387">
        <w:rPr>
          <w:rFonts w:ascii="Arial" w:hAnsi="Arial" w:cs="Arial"/>
          <w:color w:val="000000"/>
          <w:sz w:val="17"/>
          <w:szCs w:val="17"/>
          <w:lang w:val="ru-RU"/>
        </w:rPr>
        <w:t>4</w:t>
      </w:r>
      <w:proofErr w:type="gramEnd"/>
      <w:r w:rsidRPr="00AA4387">
        <w:rPr>
          <w:rFonts w:ascii="Arial" w:hAnsi="Arial" w:cs="Arial"/>
          <w:color w:val="000000"/>
          <w:sz w:val="17"/>
          <w:szCs w:val="17"/>
          <w:lang w:val="ru-RU"/>
        </w:rPr>
        <w:t xml:space="preserve"> является собственником земельного участка с кадастровым №, площадью 3 573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xml:space="preserve">., категория земель – земли с/х назначения, разрешенное использование – для дачного строительства, расположенный по адресу: &lt;адрес&gt;. Границы принадлежащих им земельных участков установлены в соответствии с требованиями земельного законодательства. При выносе в натуру поворотных точек координат границ земельных участков выяснилось, что они не совпадают с фактическими границами земельных участков, при этом площадь их не изменилась. Таким образом, при проведении кадастровых работ по установлению границ земельных участков кадастровым инженером была допущена кадастровая ошибка, которая подлежит исправлению. Смежным землепользователем является ДНТ «Дубки+», </w:t>
      </w:r>
      <w:proofErr w:type="gramStart"/>
      <w:r w:rsidRPr="00AA4387">
        <w:rPr>
          <w:rFonts w:ascii="Arial" w:hAnsi="Arial" w:cs="Arial"/>
          <w:color w:val="000000"/>
          <w:sz w:val="17"/>
          <w:szCs w:val="17"/>
          <w:lang w:val="ru-RU"/>
        </w:rPr>
        <w:t>которое</w:t>
      </w:r>
      <w:proofErr w:type="gramEnd"/>
      <w:r w:rsidRPr="00AA4387">
        <w:rPr>
          <w:rFonts w:ascii="Arial" w:hAnsi="Arial" w:cs="Arial"/>
          <w:color w:val="000000"/>
          <w:sz w:val="17"/>
          <w:szCs w:val="17"/>
          <w:lang w:val="ru-RU"/>
        </w:rPr>
        <w:t xml:space="preserve"> не возражает против исправления кадастровой ошибки.</w:t>
      </w:r>
    </w:p>
    <w:p w14:paraId="5D403DC8"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Истцы, ФИО</w:t>
      </w:r>
      <w:proofErr w:type="gramStart"/>
      <w:r w:rsidRPr="00AA4387">
        <w:rPr>
          <w:rFonts w:ascii="Arial" w:hAnsi="Arial" w:cs="Arial"/>
          <w:color w:val="000000"/>
          <w:sz w:val="17"/>
          <w:szCs w:val="17"/>
          <w:lang w:val="ru-RU"/>
        </w:rPr>
        <w:t>2</w:t>
      </w:r>
      <w:proofErr w:type="gramEnd"/>
      <w:r w:rsidRPr="00AA4387">
        <w:rPr>
          <w:rFonts w:ascii="Arial" w:hAnsi="Arial" w:cs="Arial"/>
          <w:color w:val="000000"/>
          <w:sz w:val="17"/>
          <w:szCs w:val="17"/>
          <w:lang w:val="ru-RU"/>
        </w:rPr>
        <w:t>, ФИО3, в судебное заседание явились, исковые требования поддержали.</w:t>
      </w:r>
    </w:p>
    <w:p w14:paraId="048F1978"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Истец ФИО</w:t>
      </w:r>
      <w:proofErr w:type="gramStart"/>
      <w:r w:rsidRPr="00AA4387">
        <w:rPr>
          <w:rFonts w:ascii="Arial" w:hAnsi="Arial" w:cs="Arial"/>
          <w:color w:val="000000"/>
          <w:sz w:val="17"/>
          <w:szCs w:val="17"/>
          <w:lang w:val="ru-RU"/>
        </w:rPr>
        <w:t>4</w:t>
      </w:r>
      <w:proofErr w:type="gramEnd"/>
      <w:r w:rsidRPr="00AA4387">
        <w:rPr>
          <w:rFonts w:ascii="Arial" w:hAnsi="Arial" w:cs="Arial"/>
          <w:color w:val="000000"/>
          <w:sz w:val="17"/>
          <w:szCs w:val="17"/>
          <w:lang w:val="ru-RU"/>
        </w:rPr>
        <w:t> в судебное заседание не явилась, извещена, ее представитель по доверенности ФИО2 явилась, исковые требования истицы поддержала.</w:t>
      </w:r>
    </w:p>
    <w:p w14:paraId="00D0D515"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Ответчик, представитель ДНТ «Дубки+» в лице председателя правления ФИО14, в судебное заседание явился, не возражал против удовлетворения исковых требований, заключение специалиста, представленное истцами, не оспаривает.</w:t>
      </w:r>
    </w:p>
    <w:p w14:paraId="668B3ADA"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3-е лицо, представитель Администрации Чеховского муниципального района Московской области по доверенности ФИО12 в судебное заседание явилась, исковые требования истцов поддержала.</w:t>
      </w:r>
    </w:p>
    <w:p w14:paraId="065DAE31"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3-и лица, представители Управления Федеральной службы государственной регистрации, кадастра и картографии по Московской области, ФГБУ «ФКП </w:t>
      </w:r>
      <w:proofErr w:type="spellStart"/>
      <w:r w:rsidRPr="00AA4387">
        <w:rPr>
          <w:rFonts w:ascii="Arial" w:hAnsi="Arial" w:cs="Arial"/>
          <w:color w:val="000000"/>
          <w:sz w:val="17"/>
          <w:szCs w:val="17"/>
          <w:lang w:val="ru-RU"/>
        </w:rPr>
        <w:t>Росреестра</w:t>
      </w:r>
      <w:proofErr w:type="spellEnd"/>
      <w:r w:rsidRPr="00AA4387">
        <w:rPr>
          <w:rFonts w:ascii="Arial" w:hAnsi="Arial" w:cs="Arial"/>
          <w:color w:val="000000"/>
          <w:sz w:val="17"/>
          <w:szCs w:val="17"/>
          <w:lang w:val="ru-RU"/>
        </w:rPr>
        <w:t xml:space="preserve"> по Московской области», в судебное заседание не явились, извещены, возражений не представили.</w:t>
      </w:r>
    </w:p>
    <w:p w14:paraId="52F04971"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Суд, выслушав объяснения явившихся лиц, исследовав материалы гражданского дела, представленные доказательства, считает заявленные требования подлежащими удовлетворению.</w:t>
      </w:r>
    </w:p>
    <w:p w14:paraId="673E645E"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Как установлено в судебном заседании, ФИО2 является собственником земельного участка с кадастровым №, площадью 3 503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категория земель – земли с/х назначения, разрешенное использование – для дачного строительства, расположенный по адресу: &lt;адрес&gt;, что подтверждается свидетельством о государственной регистрации права от ДД.ММ</w:t>
      </w:r>
      <w:proofErr w:type="gramStart"/>
      <w:r w:rsidRPr="00AA4387">
        <w:rPr>
          <w:rFonts w:ascii="Arial" w:hAnsi="Arial" w:cs="Arial"/>
          <w:color w:val="000000"/>
          <w:sz w:val="17"/>
          <w:szCs w:val="17"/>
          <w:lang w:val="ru-RU"/>
        </w:rPr>
        <w:t>.Г</w:t>
      </w:r>
      <w:proofErr w:type="gramEnd"/>
      <w:r w:rsidRPr="00AA4387">
        <w:rPr>
          <w:rFonts w:ascii="Arial" w:hAnsi="Arial" w:cs="Arial"/>
          <w:color w:val="000000"/>
          <w:sz w:val="17"/>
          <w:szCs w:val="17"/>
          <w:lang w:val="ru-RU"/>
        </w:rPr>
        <w:t>ГГГ (л.д.22).</w:t>
      </w:r>
    </w:p>
    <w:p w14:paraId="5F9D4EB3"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ФИО3 является собственником земельного участка с кадастровым №, площадью 2 067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категория земель – земли с/х назначения, разрешенное использование – для дачного строительства, расположенный по адресу: &lt;адрес&gt;, что подтверждается свидетельством о государственной регистрации права от ДД.ММ</w:t>
      </w:r>
      <w:proofErr w:type="gramStart"/>
      <w:r w:rsidRPr="00AA4387">
        <w:rPr>
          <w:rFonts w:ascii="Arial" w:hAnsi="Arial" w:cs="Arial"/>
          <w:color w:val="000000"/>
          <w:sz w:val="17"/>
          <w:szCs w:val="17"/>
          <w:lang w:val="ru-RU"/>
        </w:rPr>
        <w:t>.Г</w:t>
      </w:r>
      <w:proofErr w:type="gramEnd"/>
      <w:r w:rsidRPr="00AA4387">
        <w:rPr>
          <w:rFonts w:ascii="Arial" w:hAnsi="Arial" w:cs="Arial"/>
          <w:color w:val="000000"/>
          <w:sz w:val="17"/>
          <w:szCs w:val="17"/>
          <w:lang w:val="ru-RU"/>
        </w:rPr>
        <w:t>ГГГ (л.д.20).</w:t>
      </w:r>
    </w:p>
    <w:p w14:paraId="30E12017"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ФИО4 является собственником земельного участка с кадастровым №, площадью 3 573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категория земель – земли с/х назначения, разрешенное использование – для дачного строительства, расположенный по адресу: &lt;адрес&gt;, что подтверждается свидетельством о государственной регистрации права от ДД.ММ</w:t>
      </w:r>
      <w:proofErr w:type="gramStart"/>
      <w:r w:rsidRPr="00AA4387">
        <w:rPr>
          <w:rFonts w:ascii="Arial" w:hAnsi="Arial" w:cs="Arial"/>
          <w:color w:val="000000"/>
          <w:sz w:val="17"/>
          <w:szCs w:val="17"/>
          <w:lang w:val="ru-RU"/>
        </w:rPr>
        <w:t>.Г</w:t>
      </w:r>
      <w:proofErr w:type="gramEnd"/>
      <w:r w:rsidRPr="00AA4387">
        <w:rPr>
          <w:rFonts w:ascii="Arial" w:hAnsi="Arial" w:cs="Arial"/>
          <w:color w:val="000000"/>
          <w:sz w:val="17"/>
          <w:szCs w:val="17"/>
          <w:lang w:val="ru-RU"/>
        </w:rPr>
        <w:t>ГГГ (л.д.21).</w:t>
      </w:r>
    </w:p>
    <w:p w14:paraId="4798DDE2"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Границы земельных участков истцов установлены в соответствии с требованиями земельного законодательством, что подтверждается выписками из ЕГРН, материалами кадастровых дел, предоставленных по запросу суда (л.д.23-31,61-117).</w:t>
      </w:r>
    </w:p>
    <w:p w14:paraId="4E850489"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Согласно представленного заключения специалиста ООО «Оценка+» Акимовой Е.В. № 59-Ф/17, по результатам изучения предоставленных материалов и сопоставлении их с данными натурного осмотра специалистом, установлено, что исследуемый земельный участок с кадастровым № находится в фактическом пользовании ФИО3 и располагается в ДНТ «Дубки+», в ряду индивидуальной малоэтажной дачной застройки, имеет форму неправильного 4-х угольника, огорожен по всему периметру землепользования однотипным забором из</w:t>
      </w:r>
      <w:proofErr w:type="gramEnd"/>
      <w:r w:rsidRPr="00AA4387">
        <w:rPr>
          <w:rFonts w:ascii="Arial" w:hAnsi="Arial" w:cs="Arial"/>
          <w:color w:val="000000"/>
          <w:sz w:val="17"/>
          <w:szCs w:val="17"/>
          <w:lang w:val="ru-RU"/>
        </w:rPr>
        <w:t xml:space="preserve"> металлических опорных столбов высотой 2,2 м., обустроенных на бетонном ленточном заливном фундаменте, со сплошным заполнением проемов досками. Сооружение забора на линии фактических границ земельного участка собственника ФИО3 имеет признаки значительного накопленного износа, а именно: в бетонной заливке фундамента имеются многочисленные сколы и трещины, в том числе, шириной до 0,5 см: на металлических поверхностях опорных столбов имеются следы коррозии; Доски ограждения имеют многочисленные сколы и трещины, их поверхности, а также поверхности деревянных горизонтальных направляющих, покрыты многочисленными лишайниками, наблюдаются очаги гниения. Следов переноса ограждения на местности не имеется. Наиболее вероятный срок использования сооружения забора из металлических опорных столбов на бетонном ленточном заливном фундаменте с заполнением проемов между столбами досками по дощатым горизонтальным направляющим, установленного на линии границы земельного участка, находящегося в фактическом пользовании ФИО3, расположенного по адресу: &lt;адрес&gt;, составляет не менее 15 лет.</w:t>
      </w:r>
    </w:p>
    <w:p w14:paraId="600BE903"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lastRenderedPageBreak/>
        <w:t xml:space="preserve">Площадь исследуемого земельного участка с кадастровым № собственника ФИО3, измеренная в границах фактического землепользования, составляет 2 067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xml:space="preserve">., что полностью соответствует данным </w:t>
      </w:r>
      <w:proofErr w:type="spellStart"/>
      <w:r w:rsidRPr="00AA4387">
        <w:rPr>
          <w:rFonts w:ascii="Arial" w:hAnsi="Arial" w:cs="Arial"/>
          <w:color w:val="000000"/>
          <w:sz w:val="17"/>
          <w:szCs w:val="17"/>
          <w:lang w:val="ru-RU"/>
        </w:rPr>
        <w:t>правоподтверждающих</w:t>
      </w:r>
      <w:proofErr w:type="spellEnd"/>
      <w:r w:rsidRPr="00AA4387">
        <w:rPr>
          <w:rFonts w:ascii="Arial" w:hAnsi="Arial" w:cs="Arial"/>
          <w:color w:val="000000"/>
          <w:sz w:val="17"/>
          <w:szCs w:val="17"/>
          <w:lang w:val="ru-RU"/>
        </w:rPr>
        <w:t xml:space="preserve"> документов и сведениям кадастрового учета.</w:t>
      </w:r>
      <w:proofErr w:type="gramEnd"/>
      <w:r w:rsidRPr="00AA4387">
        <w:rPr>
          <w:rFonts w:ascii="Arial" w:hAnsi="Arial" w:cs="Arial"/>
          <w:color w:val="000000"/>
          <w:sz w:val="17"/>
          <w:szCs w:val="17"/>
          <w:lang w:val="ru-RU"/>
        </w:rPr>
        <w:t xml:space="preserve"> Местоположение границы земельного участка, находящегося в фактическом пользовании ФИО3, и границы данного участка по сведениям кадастрового учета, не совпадают, земельный участок в границах забора смещен в направлении востока и в направлении юга относительно границ по сведениям кадастрового учета.</w:t>
      </w:r>
    </w:p>
    <w:p w14:paraId="43F711D9"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 xml:space="preserve">Проведенное исследование показало, что местоположение фактических и кадастровым границ земельного участка с кадастровым №не совпадает, что означает, что при проведении кадастровых работ с целью уточнения местоположения границы данного земельного участка координаты характерных точек границы были установлены неверно, не в соответствии с </w:t>
      </w:r>
      <w:proofErr w:type="spellStart"/>
      <w:r w:rsidRPr="00AA4387">
        <w:rPr>
          <w:rFonts w:ascii="Arial" w:hAnsi="Arial" w:cs="Arial"/>
          <w:color w:val="000000"/>
          <w:sz w:val="17"/>
          <w:szCs w:val="17"/>
          <w:lang w:val="ru-RU"/>
        </w:rPr>
        <w:t>землеотводными</w:t>
      </w:r>
      <w:proofErr w:type="spellEnd"/>
      <w:r w:rsidRPr="00AA4387">
        <w:rPr>
          <w:rFonts w:ascii="Arial" w:hAnsi="Arial" w:cs="Arial"/>
          <w:color w:val="000000"/>
          <w:sz w:val="17"/>
          <w:szCs w:val="17"/>
          <w:lang w:val="ru-RU"/>
        </w:rPr>
        <w:t xml:space="preserve"> документами и не в соответствии с фактическим землепользованием.</w:t>
      </w:r>
      <w:proofErr w:type="gramEnd"/>
      <w:r w:rsidRPr="00AA4387">
        <w:rPr>
          <w:rFonts w:ascii="Arial" w:hAnsi="Arial" w:cs="Arial"/>
          <w:color w:val="000000"/>
          <w:sz w:val="17"/>
          <w:szCs w:val="17"/>
          <w:lang w:val="ru-RU"/>
        </w:rPr>
        <w:t xml:space="preserve"> </w:t>
      </w:r>
      <w:proofErr w:type="gramStart"/>
      <w:r w:rsidRPr="00AA4387">
        <w:rPr>
          <w:rFonts w:ascii="Arial" w:hAnsi="Arial" w:cs="Arial"/>
          <w:color w:val="000000"/>
          <w:sz w:val="17"/>
          <w:szCs w:val="17"/>
          <w:lang w:val="ru-RU"/>
        </w:rPr>
        <w:t>Таким образом, в сведениях о местоположении границы земельного участка с кадастровым № в ходе кадастровых работ по их уточнению была допущена кадастровая (реестровая) ошибка, заключающаяся в неверном определении на местности координат характерных точек линии границы земельного участка с кадастровым №. Специалистом предложено внесение изменений в сведения кадастрового учета относительно координат поворотных точек границ земельного участка с кадастровым № (л.д.120-162).</w:t>
      </w:r>
      <w:proofErr w:type="gramEnd"/>
    </w:p>
    <w:p w14:paraId="78749209"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Аналогичные заключения специалиста № 59-АФ/17 и № 59 БФ/17 были представлены суду относительно земельных участков с кадастровыми №№, №, из которых следует, что в сведениях о местоположении границ земельных участков с кадастровыми №№, № в ходе кадастровых работ по их уточнению была допущена кадастровая (реестровая) ошибка, заключающаяся в неверном определении на местности координат характерных точек линий границ земельных участков с кадастровыми №№, №.</w:t>
      </w:r>
      <w:proofErr w:type="gramEnd"/>
    </w:p>
    <w:p w14:paraId="2B136C2A"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Представитель ответчика, а также 3-его лица не оспаривали представленные истцами заключения специалиста.</w:t>
      </w:r>
    </w:p>
    <w:p w14:paraId="23295BB4"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Разрешая исковые требования истцов, суд исходит из следующего:</w:t>
      </w:r>
    </w:p>
    <w:p w14:paraId="04AFD712"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Согласно ст. 25 Земельного кодекса РФ -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68DA765F"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В силу ст. 304 Гражданского кодекса РФ собственник может требовать устранения всяких нарушений его права, хотя бы эти нарушения не были связаны с лишением владения.</w:t>
      </w:r>
    </w:p>
    <w:p w14:paraId="1FFC1A7E"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В соответствии со ст. 60 ЗК РФ нарушенное право на земельный участок подлежит восстановлению в случаях:</w:t>
      </w:r>
    </w:p>
    <w:p w14:paraId="2591108B"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1) признания судом недействительным акта исполнительного органа государственной власти или акта органа местного самоуправления, </w:t>
      </w:r>
      <w:proofErr w:type="gramStart"/>
      <w:r w:rsidRPr="00AA4387">
        <w:rPr>
          <w:rFonts w:ascii="Arial" w:hAnsi="Arial" w:cs="Arial"/>
          <w:color w:val="000000"/>
          <w:sz w:val="17"/>
          <w:szCs w:val="17"/>
          <w:lang w:val="ru-RU"/>
        </w:rPr>
        <w:t>повлекших</w:t>
      </w:r>
      <w:proofErr w:type="gramEnd"/>
      <w:r w:rsidRPr="00AA4387">
        <w:rPr>
          <w:rFonts w:ascii="Arial" w:hAnsi="Arial" w:cs="Arial"/>
          <w:color w:val="000000"/>
          <w:sz w:val="17"/>
          <w:szCs w:val="17"/>
          <w:lang w:val="ru-RU"/>
        </w:rPr>
        <w:t xml:space="preserve"> за собой нарушение права на земельный участок;</w:t>
      </w:r>
    </w:p>
    <w:p w14:paraId="493463E3"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2) самовольного занятия земельного участка;</w:t>
      </w:r>
    </w:p>
    <w:p w14:paraId="79E8C890"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3) в иных предусмотренных федеральными законами случаях.</w:t>
      </w:r>
    </w:p>
    <w:p w14:paraId="726338FE"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Действия, нарушающие права на землю граждан и юридических лиц или создающие угрозу их нарушения, могут быть пресечены путем:</w:t>
      </w:r>
    </w:p>
    <w:p w14:paraId="638E4BB4"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1) признания </w:t>
      </w:r>
      <w:proofErr w:type="gramStart"/>
      <w:r w:rsidRPr="00AA4387">
        <w:rPr>
          <w:rFonts w:ascii="Arial" w:hAnsi="Arial" w:cs="Arial"/>
          <w:color w:val="000000"/>
          <w:sz w:val="17"/>
          <w:szCs w:val="17"/>
          <w:lang w:val="ru-RU"/>
        </w:rPr>
        <w:t>недействительными</w:t>
      </w:r>
      <w:proofErr w:type="gramEnd"/>
      <w:r w:rsidRPr="00AA4387">
        <w:rPr>
          <w:rFonts w:ascii="Arial" w:hAnsi="Arial" w:cs="Arial"/>
          <w:color w:val="000000"/>
          <w:sz w:val="17"/>
          <w:szCs w:val="17"/>
          <w:lang w:val="ru-RU"/>
        </w:rPr>
        <w:t xml:space="preserve">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64FB13BA"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0F30B086"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sidRPr="00AA4387">
        <w:rPr>
          <w:rFonts w:ascii="Arial" w:hAnsi="Arial" w:cs="Arial"/>
          <w:color w:val="000000"/>
          <w:sz w:val="17"/>
          <w:szCs w:val="17"/>
          <w:lang w:val="ru-RU"/>
        </w:rPr>
        <w:t>геолого-разведочных</w:t>
      </w:r>
      <w:proofErr w:type="gramEnd"/>
      <w:r w:rsidRPr="00AA4387">
        <w:rPr>
          <w:rFonts w:ascii="Arial" w:hAnsi="Arial" w:cs="Arial"/>
          <w:color w:val="000000"/>
          <w:sz w:val="17"/>
          <w:szCs w:val="17"/>
          <w:lang w:val="ru-RU"/>
        </w:rPr>
        <w:t>, поисковых, геодезических и иных работ в порядке, установленном Правительством Российской Федерации;</w:t>
      </w:r>
    </w:p>
    <w:p w14:paraId="59F0B203"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4) восстановления положения, существовавшего до нарушения права, и пресечения действий, нарушающих право или создающих угрозу его нарушения.</w:t>
      </w:r>
    </w:p>
    <w:p w14:paraId="01E9F2D0"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В соответствии со ст. 64 ЗК РФ земельные споры рассматриваются в судебном порядке.</w:t>
      </w:r>
    </w:p>
    <w:p w14:paraId="0714C140"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В соответствии с п. 3 ст. 1 Федерального закона от 24.07.2007 года № 221-ФЗ «О государственной кадастре недвижимости», действовавшего на момент осуществления кадастрового учета земельных участков истцов, 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w:t>
      </w:r>
      <w:proofErr w:type="gramEnd"/>
      <w:r w:rsidRPr="00AA4387">
        <w:rPr>
          <w:rFonts w:ascii="Arial" w:hAnsi="Arial" w:cs="Arial"/>
          <w:color w:val="000000"/>
          <w:sz w:val="17"/>
          <w:szCs w:val="17"/>
          <w:lang w:val="ru-RU"/>
        </w:rPr>
        <w:t xml:space="preserve"> индивидуально-определенной вещи,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14:paraId="424663C2"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Ч. 4 ст. 28 Федерального закона от 24.07.2007 года № 221-ФЗ «О государственной кадастре недвижимости» было установлено, что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статьей 22 настоящего Федерального закона заявителем</w:t>
      </w:r>
      <w:proofErr w:type="gramEnd"/>
      <w:r w:rsidRPr="00AA4387">
        <w:rPr>
          <w:rFonts w:ascii="Arial" w:hAnsi="Arial" w:cs="Arial"/>
          <w:color w:val="000000"/>
          <w:sz w:val="17"/>
          <w:szCs w:val="17"/>
          <w:lang w:val="ru-RU"/>
        </w:rPr>
        <w:t>),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14:paraId="216DDA18"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Аналогичные требования содержатся в ст. 61 Федерального закона от 13.07.2015 года № 218-ФЗ (ред. от 03.07.2016 года) «О государственной регистрации недвижимости», в соответствии с которой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w:t>
      </w:r>
      <w:proofErr w:type="gramEnd"/>
      <w:r w:rsidRPr="00AA4387">
        <w:rPr>
          <w:rFonts w:ascii="Arial" w:hAnsi="Arial" w:cs="Arial"/>
          <w:color w:val="000000"/>
          <w:sz w:val="17"/>
          <w:szCs w:val="17"/>
          <w:lang w:val="ru-RU"/>
        </w:rPr>
        <w:t xml:space="preserve">, </w:t>
      </w:r>
      <w:proofErr w:type="gramStart"/>
      <w:r w:rsidRPr="00AA4387">
        <w:rPr>
          <w:rFonts w:ascii="Arial" w:hAnsi="Arial" w:cs="Arial"/>
          <w:color w:val="000000"/>
          <w:sz w:val="17"/>
          <w:szCs w:val="17"/>
          <w:lang w:val="ru-RU"/>
        </w:rPr>
        <w:t xml:space="preserve">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w:t>
      </w:r>
      <w:r w:rsidRPr="00AA4387">
        <w:rPr>
          <w:rFonts w:ascii="Arial" w:hAnsi="Arial" w:cs="Arial"/>
          <w:color w:val="000000"/>
          <w:sz w:val="17"/>
          <w:szCs w:val="17"/>
          <w:lang w:val="ru-RU"/>
        </w:rPr>
        <w:lastRenderedPageBreak/>
        <w:t>от любого заинтересованного лица заявления об исправлении технической ошибки в записях либо на основании вступившего в законную силу решения суда об</w:t>
      </w:r>
      <w:proofErr w:type="gramEnd"/>
      <w:r w:rsidRPr="00AA4387">
        <w:rPr>
          <w:rFonts w:ascii="Arial" w:hAnsi="Arial" w:cs="Arial"/>
          <w:color w:val="000000"/>
          <w:sz w:val="17"/>
          <w:szCs w:val="17"/>
          <w:lang w:val="ru-RU"/>
        </w:rPr>
        <w:t xml:space="preserve"> </w:t>
      </w:r>
      <w:proofErr w:type="gramStart"/>
      <w:r w:rsidRPr="00AA4387">
        <w:rPr>
          <w:rFonts w:ascii="Arial" w:hAnsi="Arial" w:cs="Arial"/>
          <w:color w:val="000000"/>
          <w:sz w:val="17"/>
          <w:szCs w:val="17"/>
          <w:lang w:val="ru-RU"/>
        </w:rPr>
        <w:t>исправлении</w:t>
      </w:r>
      <w:proofErr w:type="gramEnd"/>
      <w:r w:rsidRPr="00AA4387">
        <w:rPr>
          <w:rFonts w:ascii="Arial" w:hAnsi="Arial" w:cs="Arial"/>
          <w:color w:val="000000"/>
          <w:sz w:val="17"/>
          <w:szCs w:val="17"/>
          <w:lang w:val="ru-RU"/>
        </w:rPr>
        <w:t xml:space="preserve">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14:paraId="0E547FFF"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w:t>
      </w:r>
      <w:proofErr w:type="gramEnd"/>
      <w:r w:rsidRPr="00AA4387">
        <w:rPr>
          <w:rFonts w:ascii="Arial" w:hAnsi="Arial" w:cs="Arial"/>
          <w:color w:val="000000"/>
          <w:sz w:val="17"/>
          <w:szCs w:val="17"/>
          <w:lang w:val="ru-RU"/>
        </w:rPr>
        <w:t xml:space="preserve">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14:paraId="5ABF12BB"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w:t>
      </w:r>
    </w:p>
    <w:p w14:paraId="6F3E7981"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В силу п. 6 ст. 11.9 ЗК РФ образование земельных участков не должно приводить к вклиниванию, </w:t>
      </w:r>
      <w:proofErr w:type="spellStart"/>
      <w:r w:rsidRPr="00AA4387">
        <w:rPr>
          <w:rFonts w:ascii="Arial" w:hAnsi="Arial" w:cs="Arial"/>
          <w:color w:val="000000"/>
          <w:sz w:val="17"/>
          <w:szCs w:val="17"/>
          <w:lang w:val="ru-RU"/>
        </w:rPr>
        <w:t>вкрапливанию</w:t>
      </w:r>
      <w:proofErr w:type="spellEnd"/>
      <w:r w:rsidRPr="00AA4387">
        <w:rPr>
          <w:rFonts w:ascii="Arial" w:hAnsi="Arial" w:cs="Arial"/>
          <w:color w:val="000000"/>
          <w:sz w:val="17"/>
          <w:szCs w:val="17"/>
          <w:lang w:val="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4AC84771"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Суд считает возможным положить в основу решения суда заключения специалиста, поскольку проведенные исследования составлялись с учетом требований, предъявляемых к квалификации специалиста, в соответствии с методическими рекомендациями по производству экспертиз, с помощью сертифицированных геодезических спутниковых приборов. Вариант разрешения спора, предложенный специалистом, является наиболее рациональным и целесообразным, не нарушает права смежных землепользователей. При этом установление границ земельных участков не приведет к вклиниванию, </w:t>
      </w:r>
      <w:proofErr w:type="spellStart"/>
      <w:r w:rsidRPr="00AA4387">
        <w:rPr>
          <w:rFonts w:ascii="Arial" w:hAnsi="Arial" w:cs="Arial"/>
          <w:color w:val="000000"/>
          <w:sz w:val="17"/>
          <w:szCs w:val="17"/>
          <w:lang w:val="ru-RU"/>
        </w:rPr>
        <w:t>вкрапливанию</w:t>
      </w:r>
      <w:proofErr w:type="spellEnd"/>
      <w:r w:rsidRPr="00AA4387">
        <w:rPr>
          <w:rFonts w:ascii="Arial" w:hAnsi="Arial" w:cs="Arial"/>
          <w:color w:val="000000"/>
          <w:sz w:val="17"/>
          <w:szCs w:val="17"/>
          <w:lang w:val="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14:paraId="0069A461"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Поскольку заключениями специалиста установлено, что в сведениях ЕГРН имеет место реестровая (кадастровая) ошибка, наличие которой препятствует истцам надлежащим образом оформить принадлежащие им земельные участки, нарушаются права собственников земельных участков владеть, пользоваться и распоряжаться земельными участками, суд считает требования истцов подлежащими удовлетворению.</w:t>
      </w:r>
    </w:p>
    <w:p w14:paraId="6FD3C70C"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На основании </w:t>
      </w:r>
      <w:proofErr w:type="gramStart"/>
      <w:r w:rsidRPr="00AA4387">
        <w:rPr>
          <w:rFonts w:ascii="Arial" w:hAnsi="Arial" w:cs="Arial"/>
          <w:color w:val="000000"/>
          <w:sz w:val="17"/>
          <w:szCs w:val="17"/>
          <w:lang w:val="ru-RU"/>
        </w:rPr>
        <w:t>вышеизложенного</w:t>
      </w:r>
      <w:proofErr w:type="gramEnd"/>
      <w:r w:rsidRPr="00AA4387">
        <w:rPr>
          <w:rFonts w:ascii="Arial" w:hAnsi="Arial" w:cs="Arial"/>
          <w:color w:val="000000"/>
          <w:sz w:val="17"/>
          <w:szCs w:val="17"/>
          <w:lang w:val="ru-RU"/>
        </w:rPr>
        <w:t xml:space="preserve"> и, руководствуясь ст. ст. 194-198 ГПК РФ, суд, -</w:t>
      </w:r>
    </w:p>
    <w:p w14:paraId="2A87FED7" w14:textId="77777777" w:rsidR="00AA4387" w:rsidRPr="00AA4387" w:rsidRDefault="00AA4387" w:rsidP="00AA4387">
      <w:pPr>
        <w:shd w:val="clear" w:color="auto" w:fill="FFFFFF"/>
        <w:ind w:firstLine="720"/>
        <w:jc w:val="center"/>
        <w:rPr>
          <w:rFonts w:ascii="Arial" w:hAnsi="Arial" w:cs="Arial"/>
          <w:color w:val="000000"/>
          <w:sz w:val="17"/>
          <w:szCs w:val="17"/>
          <w:lang w:val="ru-RU"/>
        </w:rPr>
      </w:pPr>
      <w:proofErr w:type="gramStart"/>
      <w:r w:rsidRPr="00AA4387">
        <w:rPr>
          <w:rFonts w:ascii="Arial" w:hAnsi="Arial" w:cs="Arial"/>
          <w:color w:val="000000"/>
          <w:sz w:val="17"/>
          <w:szCs w:val="17"/>
          <w:lang w:val="ru-RU"/>
        </w:rPr>
        <w:t>Р</w:t>
      </w:r>
      <w:proofErr w:type="gramEnd"/>
      <w:r w:rsidRPr="00AA4387">
        <w:rPr>
          <w:rFonts w:ascii="Arial" w:hAnsi="Arial" w:cs="Arial"/>
          <w:color w:val="000000"/>
          <w:sz w:val="17"/>
          <w:szCs w:val="17"/>
          <w:lang w:val="ru-RU"/>
        </w:rPr>
        <w:t xml:space="preserve"> Е Ш И Л :</w:t>
      </w:r>
    </w:p>
    <w:p w14:paraId="3E483A20"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Исковые требования ФИО</w:t>
      </w:r>
      <w:proofErr w:type="gramStart"/>
      <w:r w:rsidRPr="00AA4387">
        <w:rPr>
          <w:rFonts w:ascii="Arial" w:hAnsi="Arial" w:cs="Arial"/>
          <w:color w:val="000000"/>
          <w:sz w:val="17"/>
          <w:szCs w:val="17"/>
          <w:lang w:val="ru-RU"/>
        </w:rPr>
        <w:t>2</w:t>
      </w:r>
      <w:proofErr w:type="gramEnd"/>
      <w:r w:rsidRPr="00AA4387">
        <w:rPr>
          <w:rFonts w:ascii="Arial" w:hAnsi="Arial" w:cs="Arial"/>
          <w:color w:val="000000"/>
          <w:sz w:val="17"/>
          <w:szCs w:val="17"/>
          <w:lang w:val="ru-RU"/>
        </w:rPr>
        <w:t>, ФИО3, ФИО4 к ДНТ «Дубки+» об исправлении реестровой (кадастровой) ошибки, исключении сведений о границах земельных участков из ЕГРН, установлении границ земельных участков, – удовлетворить.</w:t>
      </w:r>
    </w:p>
    <w:p w14:paraId="73EAA40E"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Исключить из ЕГРН сведения о координатах поворотных точек границ земельного участка с кадастровым №, площадью 3 503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расположенного по адресу: &lt;адрес&gt;, принадлежащего ФИО</w:t>
      </w:r>
      <w:proofErr w:type="gramStart"/>
      <w:r w:rsidRPr="00AA4387">
        <w:rPr>
          <w:rFonts w:ascii="Arial" w:hAnsi="Arial" w:cs="Arial"/>
          <w:color w:val="000000"/>
          <w:sz w:val="17"/>
          <w:szCs w:val="17"/>
          <w:lang w:val="ru-RU"/>
        </w:rPr>
        <w:t>2</w:t>
      </w:r>
      <w:proofErr w:type="gramEnd"/>
      <w:r w:rsidRPr="00AA4387">
        <w:rPr>
          <w:rFonts w:ascii="Arial" w:hAnsi="Arial" w:cs="Arial"/>
          <w:color w:val="000000"/>
          <w:sz w:val="17"/>
          <w:szCs w:val="17"/>
          <w:lang w:val="ru-RU"/>
        </w:rPr>
        <w:t>.</w:t>
      </w:r>
    </w:p>
    <w:p w14:paraId="0BA4A367"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Исключить из ЕГРН сведения о координатах поворотных точек границ земельного участка с кадастровым №, площадью 3 573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расположенного по адресу: &lt;адрес&gt;, принадлежащего ФИО</w:t>
      </w:r>
      <w:proofErr w:type="gramStart"/>
      <w:r w:rsidRPr="00AA4387">
        <w:rPr>
          <w:rFonts w:ascii="Arial" w:hAnsi="Arial" w:cs="Arial"/>
          <w:color w:val="000000"/>
          <w:sz w:val="17"/>
          <w:szCs w:val="17"/>
          <w:lang w:val="ru-RU"/>
        </w:rPr>
        <w:t>4</w:t>
      </w:r>
      <w:proofErr w:type="gramEnd"/>
      <w:r w:rsidRPr="00AA4387">
        <w:rPr>
          <w:rFonts w:ascii="Arial" w:hAnsi="Arial" w:cs="Arial"/>
          <w:color w:val="000000"/>
          <w:sz w:val="17"/>
          <w:szCs w:val="17"/>
          <w:lang w:val="ru-RU"/>
        </w:rPr>
        <w:t>.</w:t>
      </w:r>
    </w:p>
    <w:p w14:paraId="461D52B3"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Исключить из ЕГРН сведения о координатах поворотных точек границ земельного участка с </w:t>
      </w:r>
      <w:proofErr w:type="gramStart"/>
      <w:r w:rsidRPr="00AA4387">
        <w:rPr>
          <w:rFonts w:ascii="Arial" w:hAnsi="Arial" w:cs="Arial"/>
          <w:color w:val="000000"/>
          <w:sz w:val="17"/>
          <w:szCs w:val="17"/>
          <w:lang w:val="ru-RU"/>
        </w:rPr>
        <w:t>кадастровым</w:t>
      </w:r>
      <w:proofErr w:type="gramEnd"/>
      <w:r w:rsidRPr="00AA4387">
        <w:rPr>
          <w:rFonts w:ascii="Arial" w:hAnsi="Arial" w:cs="Arial"/>
          <w:color w:val="000000"/>
          <w:sz w:val="17"/>
          <w:szCs w:val="17"/>
          <w:lang w:val="ru-RU"/>
        </w:rPr>
        <w:t xml:space="preserve"> №, площадью 2 067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расположенного по адресу: &lt;адрес&gt;, принадлежащего ФИО3.</w:t>
      </w:r>
    </w:p>
    <w:p w14:paraId="6DFA8447"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Установить границы земельного участка с кадастровым №, площадью 3 503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расположенного по адресу: &lt;адрес&gt;, принадлежащего ФИО</w:t>
      </w:r>
      <w:proofErr w:type="gramStart"/>
      <w:r w:rsidRPr="00AA4387">
        <w:rPr>
          <w:rFonts w:ascii="Arial" w:hAnsi="Arial" w:cs="Arial"/>
          <w:color w:val="000000"/>
          <w:sz w:val="17"/>
          <w:szCs w:val="17"/>
          <w:lang w:val="ru-RU"/>
        </w:rPr>
        <w:t>2</w:t>
      </w:r>
      <w:proofErr w:type="gramEnd"/>
      <w:r w:rsidRPr="00AA4387">
        <w:rPr>
          <w:rFonts w:ascii="Arial" w:hAnsi="Arial" w:cs="Arial"/>
          <w:color w:val="000000"/>
          <w:sz w:val="17"/>
          <w:szCs w:val="17"/>
          <w:lang w:val="ru-RU"/>
        </w:rPr>
        <w:t>, координаты поворотных точек границ которого будут иметь следующие значения:</w:t>
      </w:r>
    </w:p>
    <w:tbl>
      <w:tblPr>
        <w:tblW w:w="0" w:type="auto"/>
        <w:jc w:val="center"/>
        <w:shd w:val="clear" w:color="auto" w:fill="FFFFFF"/>
        <w:tblCellMar>
          <w:left w:w="0" w:type="dxa"/>
          <w:right w:w="0" w:type="dxa"/>
        </w:tblCellMar>
        <w:tblLook w:val="04A0" w:firstRow="1" w:lastRow="0" w:firstColumn="1" w:lastColumn="0" w:noHBand="0" w:noVBand="1"/>
      </w:tblPr>
      <w:tblGrid>
        <w:gridCol w:w="1588"/>
        <w:gridCol w:w="1588"/>
        <w:gridCol w:w="1588"/>
      </w:tblGrid>
      <w:tr w:rsidR="00AA4387" w:rsidRPr="00AA4387" w14:paraId="5B1FACE1"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3EB17D2C"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3A1BD1AF"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5847F21A"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r w:rsidR="00AA4387" w:rsidRPr="00AA4387" w14:paraId="26124402"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693820FB"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295636F2"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6B869BC2"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r w:rsidR="00AA4387" w:rsidRPr="00AA4387" w14:paraId="39E239E9"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25C7D52C"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7E49C7A8"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6F7D6D97" w14:textId="77777777" w:rsidR="00AA4387" w:rsidRPr="00AA4387" w:rsidRDefault="00AA4387" w:rsidP="000327F6">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bl>
    <w:p w14:paraId="23C588EF"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Установить границы земельного участка с кадастровым №, площадью 3 573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расположенного по адресу: &lt;адрес&gt;, принадлежащего ФИО</w:t>
      </w:r>
      <w:proofErr w:type="gramStart"/>
      <w:r w:rsidRPr="00AA4387">
        <w:rPr>
          <w:rFonts w:ascii="Arial" w:hAnsi="Arial" w:cs="Arial"/>
          <w:color w:val="000000"/>
          <w:sz w:val="17"/>
          <w:szCs w:val="17"/>
          <w:lang w:val="ru-RU"/>
        </w:rPr>
        <w:t>4</w:t>
      </w:r>
      <w:proofErr w:type="gramEnd"/>
      <w:r w:rsidRPr="00AA4387">
        <w:rPr>
          <w:rFonts w:ascii="Arial" w:hAnsi="Arial" w:cs="Arial"/>
          <w:color w:val="000000"/>
          <w:sz w:val="17"/>
          <w:szCs w:val="17"/>
          <w:lang w:val="ru-RU"/>
        </w:rPr>
        <w:t>, координаты поворотных точек границ которого будут иметь следующие значения:</w:t>
      </w:r>
    </w:p>
    <w:tbl>
      <w:tblPr>
        <w:tblW w:w="0" w:type="auto"/>
        <w:jc w:val="center"/>
        <w:shd w:val="clear" w:color="auto" w:fill="FFFFFF"/>
        <w:tblCellMar>
          <w:left w:w="0" w:type="dxa"/>
          <w:right w:w="0" w:type="dxa"/>
        </w:tblCellMar>
        <w:tblLook w:val="04A0" w:firstRow="1" w:lastRow="0" w:firstColumn="1" w:lastColumn="0" w:noHBand="0" w:noVBand="1"/>
      </w:tblPr>
      <w:tblGrid>
        <w:gridCol w:w="1588"/>
        <w:gridCol w:w="1588"/>
        <w:gridCol w:w="1588"/>
      </w:tblGrid>
      <w:tr w:rsidR="00AA4387" w:rsidRPr="00AA4387" w14:paraId="2DF0519F"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6C22F85C" w14:textId="77777777" w:rsidR="00AA4387" w:rsidRPr="00AA4387" w:rsidRDefault="00AA4387" w:rsidP="00EF6319">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149EE2D3" w14:textId="77777777" w:rsidR="00AA4387" w:rsidRPr="00AA4387" w:rsidRDefault="00AA4387" w:rsidP="00570FD7">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2E7086CE" w14:textId="77777777" w:rsidR="00AA4387" w:rsidRPr="00AA4387" w:rsidRDefault="00AA4387" w:rsidP="00570FD7">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r w:rsidR="00AA4387" w:rsidRPr="00AA4387" w14:paraId="787B563F"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777810DB" w14:textId="77777777" w:rsidR="00AA4387" w:rsidRPr="00AA4387" w:rsidRDefault="00AA4387" w:rsidP="00EF6319">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542BA86E" w14:textId="77777777" w:rsidR="00AA4387" w:rsidRPr="00AA4387" w:rsidRDefault="00AA4387" w:rsidP="00570FD7">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29E95C01" w14:textId="77777777" w:rsidR="00AA4387" w:rsidRPr="00AA4387" w:rsidRDefault="00AA4387" w:rsidP="00570FD7">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r w:rsidR="00AA4387" w:rsidRPr="00AA4387" w14:paraId="7E507BEC"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2EA89E75" w14:textId="77777777" w:rsidR="00AA4387" w:rsidRPr="00AA4387" w:rsidRDefault="00AA4387" w:rsidP="00EF6319">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15D3B3D1" w14:textId="77777777" w:rsidR="00AA4387" w:rsidRPr="00AA4387" w:rsidRDefault="00AA4387" w:rsidP="00570FD7">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75A60D13" w14:textId="77777777" w:rsidR="00AA4387" w:rsidRPr="00AA4387" w:rsidRDefault="00AA4387" w:rsidP="00570FD7">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bl>
    <w:p w14:paraId="7ABBD6DA" w14:textId="77777777" w:rsidR="00AA4387" w:rsidRPr="00AA4387" w:rsidRDefault="00AA4387" w:rsidP="00AA4387">
      <w:pPr>
        <w:shd w:val="clear" w:color="auto" w:fill="FFFFFF"/>
        <w:ind w:firstLine="720"/>
        <w:jc w:val="both"/>
        <w:rPr>
          <w:rFonts w:ascii="Arial" w:hAnsi="Arial" w:cs="Arial"/>
          <w:color w:val="000000"/>
          <w:sz w:val="17"/>
          <w:szCs w:val="17"/>
          <w:lang w:val="ru-RU"/>
        </w:rPr>
      </w:pPr>
      <w:proofErr w:type="gramStart"/>
      <w:r w:rsidRPr="00AA4387">
        <w:rPr>
          <w:rFonts w:ascii="Arial" w:hAnsi="Arial" w:cs="Arial"/>
          <w:color w:val="000000"/>
          <w:sz w:val="17"/>
          <w:szCs w:val="17"/>
          <w:lang w:val="ru-RU"/>
        </w:rPr>
        <w:t xml:space="preserve">Установить границы земельного участка с кадастровым №, площадью 2 067 </w:t>
      </w:r>
      <w:proofErr w:type="spellStart"/>
      <w:r w:rsidRPr="00AA4387">
        <w:rPr>
          <w:rFonts w:ascii="Arial" w:hAnsi="Arial" w:cs="Arial"/>
          <w:color w:val="000000"/>
          <w:sz w:val="17"/>
          <w:szCs w:val="17"/>
          <w:lang w:val="ru-RU"/>
        </w:rPr>
        <w:t>кв.м</w:t>
      </w:r>
      <w:proofErr w:type="spellEnd"/>
      <w:r w:rsidRPr="00AA4387">
        <w:rPr>
          <w:rFonts w:ascii="Arial" w:hAnsi="Arial" w:cs="Arial"/>
          <w:color w:val="000000"/>
          <w:sz w:val="17"/>
          <w:szCs w:val="17"/>
          <w:lang w:val="ru-RU"/>
        </w:rPr>
        <w:t>., расположенного по адресу: &lt;адрес&gt;, принадлежащего ФИО3, координаты поворотных точек границ которого будут иметь следующие значения:</w:t>
      </w:r>
      <w:proofErr w:type="gramEnd"/>
    </w:p>
    <w:tbl>
      <w:tblPr>
        <w:tblW w:w="0" w:type="auto"/>
        <w:jc w:val="center"/>
        <w:shd w:val="clear" w:color="auto" w:fill="FFFFFF"/>
        <w:tblCellMar>
          <w:left w:w="0" w:type="dxa"/>
          <w:right w:w="0" w:type="dxa"/>
        </w:tblCellMar>
        <w:tblLook w:val="04A0" w:firstRow="1" w:lastRow="0" w:firstColumn="1" w:lastColumn="0" w:noHBand="0" w:noVBand="1"/>
      </w:tblPr>
      <w:tblGrid>
        <w:gridCol w:w="1588"/>
        <w:gridCol w:w="1588"/>
        <w:gridCol w:w="1588"/>
      </w:tblGrid>
      <w:tr w:rsidR="00AA4387" w:rsidRPr="00AA4387" w14:paraId="32AD0E9F"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132E6D26"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771DF955"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53F32A5D"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r w:rsidR="00AA4387" w:rsidRPr="00AA4387" w14:paraId="6C69D315"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3416C5A0"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68A85920"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1D6FFDD7"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r w:rsidR="00AA4387" w:rsidRPr="00AA4387" w14:paraId="645ECFE4" w14:textId="77777777" w:rsidTr="00AA4387">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32D3AC63"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7D893132"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14:paraId="13314633" w14:textId="77777777" w:rsidR="00AA4387" w:rsidRPr="00AA4387" w:rsidRDefault="00AA4387" w:rsidP="0071680D">
            <w:pPr>
              <w:jc w:val="both"/>
              <w:rPr>
                <w:rFonts w:ascii="Arial" w:hAnsi="Arial" w:cs="Arial"/>
                <w:color w:val="555555"/>
                <w:sz w:val="17"/>
                <w:szCs w:val="17"/>
                <w:lang w:val="ru-RU"/>
              </w:rPr>
            </w:pPr>
            <w:r w:rsidRPr="00AA4387">
              <w:rPr>
                <w:rFonts w:ascii="Arial" w:hAnsi="Arial" w:cs="Arial"/>
                <w:color w:val="555555"/>
                <w:sz w:val="17"/>
                <w:szCs w:val="17"/>
                <w:lang w:val="ru-RU"/>
              </w:rPr>
              <w:t>&lt;данные изъяты&gt;</w:t>
            </w:r>
          </w:p>
        </w:tc>
      </w:tr>
    </w:tbl>
    <w:p w14:paraId="5EB3B79F" w14:textId="77777777" w:rsidR="00AA4387" w:rsidRPr="00AA4387" w:rsidRDefault="00AA4387" w:rsidP="00AA4387">
      <w:pPr>
        <w:shd w:val="clear" w:color="auto" w:fill="FFFFFF"/>
        <w:ind w:firstLine="720"/>
        <w:jc w:val="both"/>
        <w:rPr>
          <w:rFonts w:ascii="Arial" w:hAnsi="Arial" w:cs="Arial"/>
          <w:color w:val="000000"/>
          <w:sz w:val="17"/>
          <w:szCs w:val="17"/>
          <w:lang w:val="ru-RU"/>
        </w:rPr>
      </w:pPr>
      <w:bookmarkStart w:id="0" w:name="_GoBack"/>
      <w:bookmarkEnd w:id="0"/>
      <w:r w:rsidRPr="00AA4387">
        <w:rPr>
          <w:rFonts w:ascii="Arial" w:hAnsi="Arial" w:cs="Arial"/>
          <w:color w:val="000000"/>
          <w:sz w:val="17"/>
          <w:szCs w:val="17"/>
          <w:lang w:val="ru-RU"/>
        </w:rPr>
        <w:lastRenderedPageBreak/>
        <w:t xml:space="preserve">Настоящее решение является основанием для Управления Федеральной службы государственной регистрации, кадастра и картографии по Московской области, ФГБУ ФКП </w:t>
      </w:r>
      <w:proofErr w:type="spellStart"/>
      <w:r w:rsidRPr="00AA4387">
        <w:rPr>
          <w:rFonts w:ascii="Arial" w:hAnsi="Arial" w:cs="Arial"/>
          <w:color w:val="000000"/>
          <w:sz w:val="17"/>
          <w:szCs w:val="17"/>
          <w:lang w:val="ru-RU"/>
        </w:rPr>
        <w:t>Росреестра</w:t>
      </w:r>
      <w:proofErr w:type="spellEnd"/>
      <w:r w:rsidRPr="00AA4387">
        <w:rPr>
          <w:rFonts w:ascii="Arial" w:hAnsi="Arial" w:cs="Arial"/>
          <w:color w:val="000000"/>
          <w:sz w:val="17"/>
          <w:szCs w:val="17"/>
          <w:lang w:val="ru-RU"/>
        </w:rPr>
        <w:t xml:space="preserve"> по Московской области для внесения изменений в сведения ЕГРН относительно координат поворотных точек границ земельных участков с кадастровыми №№, №, №.</w:t>
      </w:r>
    </w:p>
    <w:p w14:paraId="2F983A5C"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Решение может быть обжаловано сторонами </w:t>
      </w:r>
      <w:proofErr w:type="gramStart"/>
      <w:r w:rsidRPr="00AA4387">
        <w:rPr>
          <w:rFonts w:ascii="Arial" w:hAnsi="Arial" w:cs="Arial"/>
          <w:color w:val="000000"/>
          <w:sz w:val="17"/>
          <w:szCs w:val="17"/>
          <w:lang w:val="ru-RU"/>
        </w:rPr>
        <w:t>в апелляционном порядке в Московский областной суд через Чеховский городской суд Московской области в течение одного месяца со дня</w:t>
      </w:r>
      <w:proofErr w:type="gramEnd"/>
      <w:r w:rsidRPr="00AA4387">
        <w:rPr>
          <w:rFonts w:ascii="Arial" w:hAnsi="Arial" w:cs="Arial"/>
          <w:color w:val="000000"/>
          <w:sz w:val="17"/>
          <w:szCs w:val="17"/>
          <w:lang w:val="ru-RU"/>
        </w:rPr>
        <w:t xml:space="preserve"> изготовления решения суда в окончательной форме.</w:t>
      </w:r>
    </w:p>
    <w:p w14:paraId="7E03AEF7" w14:textId="77777777" w:rsidR="00AA4387" w:rsidRPr="00AA4387" w:rsidRDefault="00AA4387" w:rsidP="00AA4387">
      <w:pPr>
        <w:shd w:val="clear" w:color="auto" w:fill="FFFFFF"/>
        <w:ind w:firstLine="720"/>
        <w:jc w:val="both"/>
        <w:rPr>
          <w:rFonts w:ascii="Arial" w:hAnsi="Arial" w:cs="Arial"/>
          <w:color w:val="000000"/>
          <w:sz w:val="17"/>
          <w:szCs w:val="17"/>
          <w:lang w:val="ru-RU"/>
        </w:rPr>
      </w:pPr>
      <w:r w:rsidRPr="00AA4387">
        <w:rPr>
          <w:rFonts w:ascii="Arial" w:hAnsi="Arial" w:cs="Arial"/>
          <w:color w:val="000000"/>
          <w:sz w:val="17"/>
          <w:szCs w:val="17"/>
          <w:lang w:val="ru-RU"/>
        </w:rPr>
        <w:t xml:space="preserve">Председательствующий судья: А.Е. </w:t>
      </w:r>
      <w:proofErr w:type="spellStart"/>
      <w:r w:rsidRPr="00AA4387">
        <w:rPr>
          <w:rFonts w:ascii="Arial" w:hAnsi="Arial" w:cs="Arial"/>
          <w:color w:val="000000"/>
          <w:sz w:val="17"/>
          <w:szCs w:val="17"/>
          <w:lang w:val="ru-RU"/>
        </w:rPr>
        <w:t>Трощило</w:t>
      </w:r>
      <w:proofErr w:type="spellEnd"/>
    </w:p>
    <w:p w14:paraId="6E5C27DF" w14:textId="77777777" w:rsidR="00BB061B" w:rsidRDefault="00BB061B"/>
    <w:sectPr w:rsidR="00BB061B" w:rsidSect="001A6E72">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69B26" w14:textId="77777777" w:rsidR="00100D53" w:rsidRDefault="00100D53" w:rsidP="00656AB3">
      <w:r>
        <w:separator/>
      </w:r>
    </w:p>
  </w:endnote>
  <w:endnote w:type="continuationSeparator" w:id="0">
    <w:p w14:paraId="302167B0" w14:textId="77777777" w:rsidR="00100D53" w:rsidRDefault="00100D53" w:rsidP="006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BFDD" w14:textId="77777777" w:rsidR="00656AB3" w:rsidRDefault="00656AB3" w:rsidP="00656A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D189B" w14:textId="77777777" w:rsidR="00656AB3" w:rsidRDefault="00656AB3" w:rsidP="00656A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8716" w14:textId="77777777" w:rsidR="00656AB3" w:rsidRDefault="00656AB3" w:rsidP="00656A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25C7">
      <w:rPr>
        <w:rStyle w:val="a7"/>
        <w:noProof/>
      </w:rPr>
      <w:t>1</w:t>
    </w:r>
    <w:r>
      <w:rPr>
        <w:rStyle w:val="a7"/>
      </w:rPr>
      <w:fldChar w:fldCharType="end"/>
    </w:r>
  </w:p>
  <w:p w14:paraId="77780EA3" w14:textId="77777777" w:rsidR="00656AB3" w:rsidRDefault="00656AB3" w:rsidP="00656AB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AEB79" w14:textId="77777777" w:rsidR="00100D53" w:rsidRDefault="00100D53" w:rsidP="00656AB3">
      <w:r>
        <w:separator/>
      </w:r>
    </w:p>
  </w:footnote>
  <w:footnote w:type="continuationSeparator" w:id="0">
    <w:p w14:paraId="10AD5B46" w14:textId="77777777" w:rsidR="00100D53" w:rsidRDefault="00100D53" w:rsidP="0065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87"/>
    <w:rsid w:val="000327F6"/>
    <w:rsid w:val="00084796"/>
    <w:rsid w:val="000E25C7"/>
    <w:rsid w:val="00100D53"/>
    <w:rsid w:val="001A6E72"/>
    <w:rsid w:val="00570FD7"/>
    <w:rsid w:val="00656AB3"/>
    <w:rsid w:val="0071680D"/>
    <w:rsid w:val="00A41017"/>
    <w:rsid w:val="00AA4387"/>
    <w:rsid w:val="00BB061B"/>
    <w:rsid w:val="00EF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08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387"/>
    <w:pPr>
      <w:spacing w:before="100" w:beforeAutospacing="1" w:after="100" w:afterAutospacing="1"/>
    </w:pPr>
    <w:rPr>
      <w:rFonts w:ascii="Times" w:hAnsi="Times" w:cs="Times New Roman"/>
      <w:sz w:val="20"/>
      <w:szCs w:val="20"/>
      <w:lang w:val="ru-RU"/>
    </w:rPr>
  </w:style>
  <w:style w:type="character" w:customStyle="1" w:styleId="fio11">
    <w:name w:val="fio11"/>
    <w:basedOn w:val="a0"/>
    <w:rsid w:val="00AA4387"/>
  </w:style>
  <w:style w:type="character" w:customStyle="1" w:styleId="fio2">
    <w:name w:val="fio2"/>
    <w:basedOn w:val="a0"/>
    <w:rsid w:val="00AA4387"/>
  </w:style>
  <w:style w:type="character" w:customStyle="1" w:styleId="fio3">
    <w:name w:val="fio3"/>
    <w:basedOn w:val="a0"/>
    <w:rsid w:val="00AA4387"/>
  </w:style>
  <w:style w:type="character" w:customStyle="1" w:styleId="fio4">
    <w:name w:val="fio4"/>
    <w:basedOn w:val="a0"/>
    <w:rsid w:val="00AA4387"/>
  </w:style>
  <w:style w:type="character" w:customStyle="1" w:styleId="nomer2">
    <w:name w:val="nomer2"/>
    <w:basedOn w:val="a0"/>
    <w:rsid w:val="00AA4387"/>
  </w:style>
  <w:style w:type="character" w:customStyle="1" w:styleId="address2">
    <w:name w:val="address2"/>
    <w:basedOn w:val="a0"/>
    <w:rsid w:val="00AA4387"/>
  </w:style>
  <w:style w:type="character" w:customStyle="1" w:styleId="fio14">
    <w:name w:val="fio14"/>
    <w:basedOn w:val="a0"/>
    <w:rsid w:val="00AA4387"/>
  </w:style>
  <w:style w:type="character" w:customStyle="1" w:styleId="fio12">
    <w:name w:val="fio12"/>
    <w:basedOn w:val="a0"/>
    <w:rsid w:val="00AA4387"/>
  </w:style>
  <w:style w:type="character" w:customStyle="1" w:styleId="data2">
    <w:name w:val="data2"/>
    <w:basedOn w:val="a0"/>
    <w:rsid w:val="00AA4387"/>
  </w:style>
  <w:style w:type="character" w:customStyle="1" w:styleId="others1">
    <w:name w:val="others1"/>
    <w:basedOn w:val="a0"/>
    <w:rsid w:val="00AA4387"/>
  </w:style>
  <w:style w:type="character" w:customStyle="1" w:styleId="others2">
    <w:name w:val="others2"/>
    <w:basedOn w:val="a0"/>
    <w:rsid w:val="00AA4387"/>
  </w:style>
  <w:style w:type="character" w:customStyle="1" w:styleId="others3">
    <w:name w:val="others3"/>
    <w:basedOn w:val="a0"/>
    <w:rsid w:val="00AA4387"/>
  </w:style>
  <w:style w:type="character" w:styleId="a4">
    <w:name w:val="Hyperlink"/>
    <w:basedOn w:val="a0"/>
    <w:uiPriority w:val="99"/>
    <w:semiHidden/>
    <w:unhideWhenUsed/>
    <w:rsid w:val="00A41017"/>
    <w:rPr>
      <w:color w:val="0000FF"/>
      <w:u w:val="single"/>
    </w:rPr>
  </w:style>
  <w:style w:type="paragraph" w:styleId="a5">
    <w:name w:val="footer"/>
    <w:basedOn w:val="a"/>
    <w:link w:val="a6"/>
    <w:uiPriority w:val="99"/>
    <w:unhideWhenUsed/>
    <w:rsid w:val="00656AB3"/>
    <w:pPr>
      <w:tabs>
        <w:tab w:val="center" w:pos="4677"/>
        <w:tab w:val="right" w:pos="9355"/>
      </w:tabs>
    </w:pPr>
  </w:style>
  <w:style w:type="character" w:customStyle="1" w:styleId="a6">
    <w:name w:val="Нижний колонтитул Знак"/>
    <w:basedOn w:val="a0"/>
    <w:link w:val="a5"/>
    <w:uiPriority w:val="99"/>
    <w:rsid w:val="00656AB3"/>
  </w:style>
  <w:style w:type="character" w:styleId="a7">
    <w:name w:val="page number"/>
    <w:basedOn w:val="a0"/>
    <w:uiPriority w:val="99"/>
    <w:semiHidden/>
    <w:unhideWhenUsed/>
    <w:rsid w:val="00656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387"/>
    <w:pPr>
      <w:spacing w:before="100" w:beforeAutospacing="1" w:after="100" w:afterAutospacing="1"/>
    </w:pPr>
    <w:rPr>
      <w:rFonts w:ascii="Times" w:hAnsi="Times" w:cs="Times New Roman"/>
      <w:sz w:val="20"/>
      <w:szCs w:val="20"/>
      <w:lang w:val="ru-RU"/>
    </w:rPr>
  </w:style>
  <w:style w:type="character" w:customStyle="1" w:styleId="fio11">
    <w:name w:val="fio11"/>
    <w:basedOn w:val="a0"/>
    <w:rsid w:val="00AA4387"/>
  </w:style>
  <w:style w:type="character" w:customStyle="1" w:styleId="fio2">
    <w:name w:val="fio2"/>
    <w:basedOn w:val="a0"/>
    <w:rsid w:val="00AA4387"/>
  </w:style>
  <w:style w:type="character" w:customStyle="1" w:styleId="fio3">
    <w:name w:val="fio3"/>
    <w:basedOn w:val="a0"/>
    <w:rsid w:val="00AA4387"/>
  </w:style>
  <w:style w:type="character" w:customStyle="1" w:styleId="fio4">
    <w:name w:val="fio4"/>
    <w:basedOn w:val="a0"/>
    <w:rsid w:val="00AA4387"/>
  </w:style>
  <w:style w:type="character" w:customStyle="1" w:styleId="nomer2">
    <w:name w:val="nomer2"/>
    <w:basedOn w:val="a0"/>
    <w:rsid w:val="00AA4387"/>
  </w:style>
  <w:style w:type="character" w:customStyle="1" w:styleId="address2">
    <w:name w:val="address2"/>
    <w:basedOn w:val="a0"/>
    <w:rsid w:val="00AA4387"/>
  </w:style>
  <w:style w:type="character" w:customStyle="1" w:styleId="fio14">
    <w:name w:val="fio14"/>
    <w:basedOn w:val="a0"/>
    <w:rsid w:val="00AA4387"/>
  </w:style>
  <w:style w:type="character" w:customStyle="1" w:styleId="fio12">
    <w:name w:val="fio12"/>
    <w:basedOn w:val="a0"/>
    <w:rsid w:val="00AA4387"/>
  </w:style>
  <w:style w:type="character" w:customStyle="1" w:styleId="data2">
    <w:name w:val="data2"/>
    <w:basedOn w:val="a0"/>
    <w:rsid w:val="00AA4387"/>
  </w:style>
  <w:style w:type="character" w:customStyle="1" w:styleId="others1">
    <w:name w:val="others1"/>
    <w:basedOn w:val="a0"/>
    <w:rsid w:val="00AA4387"/>
  </w:style>
  <w:style w:type="character" w:customStyle="1" w:styleId="others2">
    <w:name w:val="others2"/>
    <w:basedOn w:val="a0"/>
    <w:rsid w:val="00AA4387"/>
  </w:style>
  <w:style w:type="character" w:customStyle="1" w:styleId="others3">
    <w:name w:val="others3"/>
    <w:basedOn w:val="a0"/>
    <w:rsid w:val="00AA4387"/>
  </w:style>
  <w:style w:type="character" w:styleId="a4">
    <w:name w:val="Hyperlink"/>
    <w:basedOn w:val="a0"/>
    <w:uiPriority w:val="99"/>
    <w:semiHidden/>
    <w:unhideWhenUsed/>
    <w:rsid w:val="00A41017"/>
    <w:rPr>
      <w:color w:val="0000FF"/>
      <w:u w:val="single"/>
    </w:rPr>
  </w:style>
  <w:style w:type="paragraph" w:styleId="a5">
    <w:name w:val="footer"/>
    <w:basedOn w:val="a"/>
    <w:link w:val="a6"/>
    <w:uiPriority w:val="99"/>
    <w:unhideWhenUsed/>
    <w:rsid w:val="00656AB3"/>
    <w:pPr>
      <w:tabs>
        <w:tab w:val="center" w:pos="4677"/>
        <w:tab w:val="right" w:pos="9355"/>
      </w:tabs>
    </w:pPr>
  </w:style>
  <w:style w:type="character" w:customStyle="1" w:styleId="a6">
    <w:name w:val="Нижний колонтитул Знак"/>
    <w:basedOn w:val="a0"/>
    <w:link w:val="a5"/>
    <w:uiPriority w:val="99"/>
    <w:rsid w:val="00656AB3"/>
  </w:style>
  <w:style w:type="character" w:styleId="a7">
    <w:name w:val="page number"/>
    <w:basedOn w:val="a0"/>
    <w:uiPriority w:val="99"/>
    <w:semiHidden/>
    <w:unhideWhenUsed/>
    <w:rsid w:val="0065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70654">
      <w:bodyDiv w:val="1"/>
      <w:marLeft w:val="0"/>
      <w:marRight w:val="0"/>
      <w:marTop w:val="0"/>
      <w:marBottom w:val="0"/>
      <w:divBdr>
        <w:top w:val="none" w:sz="0" w:space="0" w:color="auto"/>
        <w:left w:val="none" w:sz="0" w:space="0" w:color="auto"/>
        <w:bottom w:val="none" w:sz="0" w:space="0" w:color="auto"/>
        <w:right w:val="none" w:sz="0" w:space="0" w:color="auto"/>
      </w:divBdr>
    </w:div>
    <w:div w:id="110450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Aspekt_Admin</cp:lastModifiedBy>
  <cp:revision>2</cp:revision>
  <dcterms:created xsi:type="dcterms:W3CDTF">2017-07-07T10:30:00Z</dcterms:created>
  <dcterms:modified xsi:type="dcterms:W3CDTF">2017-07-07T10:30:00Z</dcterms:modified>
</cp:coreProperties>
</file>